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240DE">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rPr>
          <w:rFonts w:hint="eastAsia" w:ascii="黑体" w:hAnsi="黑体" w:eastAsia="黑体" w:cs="黑体"/>
          <w:sz w:val="32"/>
          <w:szCs w:val="32"/>
          <w:lang w:val="en-US" w:eastAsia="zh-CN"/>
        </w:rPr>
      </w:pPr>
      <w:bookmarkStart w:id="1" w:name="_GoBack"/>
      <w:r>
        <w:rPr>
          <w:rFonts w:hint="eastAsia" w:ascii="黑体" w:hAnsi="黑体" w:eastAsia="黑体" w:cs="黑体"/>
          <w:sz w:val="32"/>
          <w:szCs w:val="32"/>
          <w:lang w:val="en-US" w:eastAsia="zh-CN"/>
        </w:rPr>
        <w:t>附件1</w:t>
      </w:r>
    </w:p>
    <w:p w14:paraId="0BAAD126">
      <w:pPr>
        <w:keepNext w:val="0"/>
        <w:keepLines w:val="0"/>
        <w:pageBreakBefore w:val="0"/>
        <w:widowControl/>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color w:val="auto"/>
          <w:kern w:val="0"/>
          <w:sz w:val="40"/>
          <w:szCs w:val="40"/>
          <w:highlight w:val="none"/>
          <w:lang w:val="en-US" w:eastAsia="zh-CN"/>
        </w:rPr>
      </w:pPr>
      <w:r>
        <w:rPr>
          <w:rFonts w:hint="eastAsia" w:ascii="方正小标宋简体" w:hAnsi="方正小标宋简体" w:eastAsia="方正小标宋简体" w:cs="方正小标宋简体"/>
          <w:color w:val="auto"/>
          <w:kern w:val="0"/>
          <w:sz w:val="44"/>
          <w:szCs w:val="44"/>
          <w:highlight w:val="none"/>
          <w:lang w:val="en-US" w:eastAsia="zh-CN"/>
        </w:rPr>
        <w:t>宜宾市社科基金“社科赋能县（区）高质量</w:t>
      </w:r>
      <w:r>
        <w:rPr>
          <w:rFonts w:hint="eastAsia" w:ascii="方正小标宋简体" w:hAnsi="方正小标宋简体" w:eastAsia="方正小标宋简体" w:cs="方正小标宋简体"/>
          <w:color w:val="auto"/>
          <w:kern w:val="0"/>
          <w:sz w:val="40"/>
          <w:szCs w:val="40"/>
          <w:highlight w:val="none"/>
          <w:lang w:val="en-US" w:eastAsia="zh-CN"/>
        </w:rPr>
        <w:t>发展”专项课题选题方向</w:t>
      </w:r>
    </w:p>
    <w:bookmarkEnd w:id="1"/>
    <w:tbl>
      <w:tblPr>
        <w:tblStyle w:val="6"/>
        <w:tblpPr w:leftFromText="180" w:rightFromText="180" w:vertAnchor="text" w:horzAnchor="page" w:tblpX="1770" w:tblpY="88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1091"/>
        <w:gridCol w:w="1117"/>
        <w:gridCol w:w="5818"/>
      </w:tblGrid>
      <w:tr w14:paraId="14D2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exact"/>
          <w:jc w:val="center"/>
        </w:trPr>
        <w:tc>
          <w:tcPr>
            <w:tcW w:w="0" w:type="auto"/>
            <w:noWrap w:val="0"/>
            <w:vAlign w:val="center"/>
          </w:tcPr>
          <w:p w14:paraId="07E11D6F">
            <w:pPr>
              <w:pStyle w:val="2"/>
              <w:jc w:val="center"/>
              <w:rPr>
                <w:rFonts w:hint="default" w:eastAsia="黑体" w:cs="Times New Roman"/>
                <w:color w:val="auto"/>
                <w:sz w:val="28"/>
                <w:szCs w:val="28"/>
                <w:vertAlign w:val="baseline"/>
                <w:lang w:eastAsia="zh-CN"/>
              </w:rPr>
            </w:pPr>
            <w:r>
              <w:rPr>
                <w:rFonts w:hint="eastAsia" w:eastAsia="黑体" w:cs="Times New Roman"/>
                <w:color w:val="auto"/>
                <w:sz w:val="28"/>
                <w:szCs w:val="28"/>
                <w:vertAlign w:val="baseline"/>
                <w:lang w:eastAsia="zh-CN"/>
              </w:rPr>
              <w:t>号</w:t>
            </w:r>
          </w:p>
        </w:tc>
        <w:tc>
          <w:tcPr>
            <w:tcW w:w="1122" w:type="dxa"/>
            <w:noWrap w:val="0"/>
            <w:vAlign w:val="center"/>
          </w:tcPr>
          <w:p w14:paraId="3621F9B5">
            <w:pPr>
              <w:pStyle w:val="2"/>
              <w:jc w:val="center"/>
              <w:rPr>
                <w:rFonts w:hint="default" w:eastAsia="黑体" w:cs="Times New Roman"/>
                <w:color w:val="auto"/>
                <w:sz w:val="28"/>
                <w:szCs w:val="28"/>
                <w:vertAlign w:val="baseline"/>
                <w:lang w:eastAsia="zh-CN"/>
              </w:rPr>
            </w:pPr>
            <w:r>
              <w:rPr>
                <w:rFonts w:hint="eastAsia" w:eastAsia="黑体" w:cs="Times New Roman"/>
                <w:color w:val="auto"/>
                <w:sz w:val="28"/>
                <w:szCs w:val="28"/>
                <w:vertAlign w:val="baseline"/>
                <w:lang w:eastAsia="zh-CN"/>
              </w:rPr>
              <w:t>县（区）</w:t>
            </w:r>
          </w:p>
        </w:tc>
        <w:tc>
          <w:tcPr>
            <w:tcW w:w="1480" w:type="dxa"/>
            <w:noWrap w:val="0"/>
            <w:vAlign w:val="center"/>
          </w:tcPr>
          <w:p w14:paraId="2F7D1FBB">
            <w:pPr>
              <w:pStyle w:val="2"/>
              <w:jc w:val="center"/>
              <w:rPr>
                <w:rFonts w:hint="eastAsia" w:eastAsia="黑体" w:cs="Times New Roman"/>
                <w:color w:val="auto"/>
                <w:sz w:val="28"/>
                <w:szCs w:val="28"/>
                <w:vertAlign w:val="baseline"/>
                <w:lang w:eastAsia="zh-CN"/>
              </w:rPr>
            </w:pPr>
            <w:r>
              <w:rPr>
                <w:rFonts w:hint="eastAsia" w:eastAsia="黑体" w:cs="Times New Roman"/>
                <w:color w:val="auto"/>
                <w:sz w:val="28"/>
                <w:szCs w:val="28"/>
                <w:vertAlign w:val="baseline"/>
                <w:lang w:eastAsia="zh-CN"/>
              </w:rPr>
              <w:t>选题</w:t>
            </w:r>
          </w:p>
        </w:tc>
        <w:tc>
          <w:tcPr>
            <w:tcW w:w="9874" w:type="dxa"/>
            <w:noWrap w:val="0"/>
            <w:vAlign w:val="center"/>
          </w:tcPr>
          <w:p w14:paraId="4830FB29">
            <w:pPr>
              <w:pStyle w:val="2"/>
              <w:jc w:val="center"/>
              <w:rPr>
                <w:rFonts w:hint="default" w:eastAsia="黑体" w:cs="Times New Roman"/>
                <w:color w:val="auto"/>
                <w:sz w:val="28"/>
                <w:szCs w:val="28"/>
                <w:vertAlign w:val="baseline"/>
                <w:lang w:eastAsia="zh-CN"/>
              </w:rPr>
            </w:pPr>
            <w:r>
              <w:rPr>
                <w:rFonts w:ascii="黑体" w:hAnsi="黑体" w:eastAsia="黑体" w:cs="黑体"/>
                <w:spacing w:val="-4"/>
                <w:sz w:val="28"/>
                <w:szCs w:val="28"/>
              </w:rPr>
              <w:t>选题考量</w:t>
            </w:r>
          </w:p>
        </w:tc>
      </w:tr>
      <w:tr w14:paraId="3CA8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6" w:hRule="exact"/>
          <w:jc w:val="center"/>
        </w:trPr>
        <w:tc>
          <w:tcPr>
            <w:tcW w:w="0" w:type="auto"/>
            <w:noWrap w:val="0"/>
            <w:vAlign w:val="center"/>
          </w:tcPr>
          <w:p w14:paraId="37578807">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1</w:t>
            </w:r>
          </w:p>
        </w:tc>
        <w:tc>
          <w:tcPr>
            <w:tcW w:w="1122" w:type="dxa"/>
            <w:noWrap w:val="0"/>
            <w:vAlign w:val="center"/>
          </w:tcPr>
          <w:p w14:paraId="07FF90AF">
            <w:pPr>
              <w:pStyle w:val="2"/>
              <w:spacing w:line="240" w:lineRule="auto"/>
              <w:jc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翠屏区</w:t>
            </w:r>
          </w:p>
        </w:tc>
        <w:tc>
          <w:tcPr>
            <w:tcW w:w="1480" w:type="dxa"/>
            <w:noWrap w:val="0"/>
            <w:vAlign w:val="center"/>
          </w:tcPr>
          <w:p w14:paraId="4E121DE1">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仿宋_GB2312" w:hAnsi="仿宋_GB2312" w:eastAsia="仿宋_GB2312" w:cs="仿宋_GB2312"/>
                <w:color w:val="auto"/>
                <w:sz w:val="24"/>
                <w:szCs w:val="24"/>
                <w:vertAlign w:val="baseline"/>
                <w:lang w:val="en-US" w:eastAsia="zh-CN"/>
              </w:rPr>
            </w:pPr>
            <w:r>
              <w:rPr>
                <w:rFonts w:hint="default" w:ascii="Times New Roman" w:hAnsi="Times New Roman" w:eastAsia="仿宋_GB2312" w:cs="Times New Roman"/>
                <w:sz w:val="24"/>
                <w:szCs w:val="24"/>
                <w:lang w:eastAsia="zh-CN"/>
              </w:rPr>
              <w:t>党组织领导的校长负责制翠屏实践与路径优化</w:t>
            </w:r>
          </w:p>
        </w:tc>
        <w:tc>
          <w:tcPr>
            <w:tcW w:w="9874" w:type="dxa"/>
            <w:noWrap w:val="0"/>
            <w:vAlign w:val="center"/>
          </w:tcPr>
          <w:p w14:paraId="4536E036">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sz w:val="21"/>
                <w:szCs w:val="21"/>
                <w:lang w:val="en-US" w:eastAsia="zh-CN"/>
              </w:rPr>
            </w:pPr>
            <w:r>
              <w:rPr>
                <w:rFonts w:hint="eastAsia" w:ascii="仿宋_GB2312" w:hAnsi="仿宋_GB2312" w:eastAsia="仿宋_GB2312" w:cs="仿宋_GB2312"/>
                <w:spacing w:val="-1"/>
                <w:sz w:val="21"/>
                <w:szCs w:val="21"/>
                <w:lang w:val="en-US" w:eastAsia="zh-CN"/>
              </w:rPr>
              <w:t>党中央始终把教育摆在优先发展的战略地位。2022年1月，中办印发《关于建立中小学校党组织领导的校长负责制的意见（试行）》，明确了党组织在学校治理中的领导核心地位，强调了校长在党组织领导下依法依规行使职权，实现了党的领导与学校教育管理的有机统一。希望通过对党组织书记和校长权责边界等问题进行认真研究，找准问题、分析原因、增添措施，为进一步坚持和加强党对中小学校的全面领导、促进城乡教育优质均衡，加强各中小学校落实立德树人根本任务，确保党的教育方针和党中央决策部署在中小学校得到切实贯彻落实提供参考。主要解决以下问题：一是权责边界不明晰问题；二是决策效率不高的问题；三是党建经费保障不足的问题；四是风险防控不力问题。课题成果可以报送组织部门、教育体育部门决策参考，推动完善以下政策：1.形成中小学校党组织书记、校长、专职副书记职责清单。2.健全完善以学校党组织会议和校长办公会议（校务会议）为主体的议事决策、常态化沟通机制。3.建立中小学校党建工作经费管理办法和中小学校党务干部队伍激励办法。</w:t>
            </w:r>
          </w:p>
        </w:tc>
      </w:tr>
      <w:tr w14:paraId="48CE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3" w:hRule="exact"/>
          <w:jc w:val="center"/>
        </w:trPr>
        <w:tc>
          <w:tcPr>
            <w:tcW w:w="0" w:type="auto"/>
            <w:noWrap w:val="0"/>
            <w:vAlign w:val="center"/>
          </w:tcPr>
          <w:p w14:paraId="131E21F1">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2</w:t>
            </w:r>
          </w:p>
        </w:tc>
        <w:tc>
          <w:tcPr>
            <w:tcW w:w="1122" w:type="dxa"/>
            <w:noWrap w:val="0"/>
            <w:vAlign w:val="center"/>
          </w:tcPr>
          <w:p w14:paraId="1BEA81E2">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叙州区</w:t>
            </w:r>
          </w:p>
        </w:tc>
        <w:tc>
          <w:tcPr>
            <w:tcW w:w="1480" w:type="dxa"/>
            <w:noWrap w:val="0"/>
            <w:vAlign w:val="center"/>
          </w:tcPr>
          <w:p w14:paraId="36D587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default"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空间生产视域下现代化区域中心城市建构中存量空间活化研究——以宜宾市叙州区为例</w:t>
            </w:r>
          </w:p>
          <w:p w14:paraId="6E5E9104">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仿宋_GB2312" w:hAnsi="仿宋_GB2312" w:eastAsia="仿宋_GB2312" w:cs="仿宋_GB2312"/>
                <w:color w:val="auto"/>
                <w:sz w:val="24"/>
                <w:szCs w:val="24"/>
                <w:vertAlign w:val="baseline"/>
                <w:lang w:eastAsia="zh-CN"/>
              </w:rPr>
            </w:pPr>
          </w:p>
        </w:tc>
        <w:tc>
          <w:tcPr>
            <w:tcW w:w="9874" w:type="dxa"/>
            <w:noWrap w:val="0"/>
            <w:vAlign w:val="center"/>
          </w:tcPr>
          <w:p w14:paraId="1AF72A04">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选题背景</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我国城镇化已从“增量扩张”转向“存量活化”。宜宾市建设现代化区域中心城市面临土地紧约束，需通过存量空间重塑激发内生动力。叙州区作为中心城区重要组成部分，存在典型空间矛盾：中渡口片区历史街区活力衰退，陷入“有历史无场景、有人气无留量”困境；雪滩公园滨江空间功能单一，社会生产属性较弱。引入列斐伏尔“空间生产”理论，可深入剖析存量活化机理，探索文化传承、经济赋能与社会包容的更新路径。</w:t>
            </w:r>
          </w:p>
          <w:p w14:paraId="77D0DFCC">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研究意义：提供可操作的“叙州样本”，助推宜宾城市功能跃迁，探索多元主体参与的可持续更新机制。</w:t>
            </w:r>
          </w:p>
          <w:p w14:paraId="11A32829">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拟解决的关键问题：一是中渡口如何兼容文化记忆与现代功能，避免静态保护或过度商业化；二是雪滩公园如何突破传统休闲功能，实现弹性承载高能级活动；三是如何建立存量空间活化后的长效运营机制。</w:t>
            </w:r>
          </w:p>
          <w:p w14:paraId="5191F9A1">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研究目标：构建西部内陆城市存量活化理论框架；提出“文化记忆场”重塑与“弹性活力核”实施策略；形成可复制的“策划—建设—运营”一体化方案，助力叙州区功能品质跃迁，为宜宾城市更新提供决策支撑与实践样板。</w:t>
            </w:r>
          </w:p>
        </w:tc>
      </w:tr>
      <w:tr w14:paraId="1987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6" w:hRule="exact"/>
          <w:jc w:val="center"/>
        </w:trPr>
        <w:tc>
          <w:tcPr>
            <w:tcW w:w="0" w:type="auto"/>
            <w:noWrap w:val="0"/>
            <w:vAlign w:val="center"/>
          </w:tcPr>
          <w:p w14:paraId="7288043B">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3</w:t>
            </w:r>
          </w:p>
        </w:tc>
        <w:tc>
          <w:tcPr>
            <w:tcW w:w="1122" w:type="dxa"/>
            <w:noWrap w:val="0"/>
            <w:vAlign w:val="center"/>
          </w:tcPr>
          <w:p w14:paraId="7DDFC41E">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南溪区</w:t>
            </w:r>
          </w:p>
        </w:tc>
        <w:tc>
          <w:tcPr>
            <w:tcW w:w="1480" w:type="dxa"/>
            <w:noWrap w:val="0"/>
            <w:vAlign w:val="center"/>
          </w:tcPr>
          <w:p w14:paraId="34A4F2EC">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关于推动文旅体商融合发展的研究</w:t>
            </w:r>
          </w:p>
        </w:tc>
        <w:tc>
          <w:tcPr>
            <w:tcW w:w="9874" w:type="dxa"/>
            <w:noWrap w:val="0"/>
            <w:vAlign w:val="center"/>
          </w:tcPr>
          <w:p w14:paraId="172192BE">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当前，国家深入实施文化强国、旅游强国、体育强国战略，推动文旅体商深度融合发展已成为激发消费活力、培育新质生产力的重要路径。南溪区虽拥有丰富的长江文化、红色资源、非遗项目和赛事基础，但实践中仍面临融合“碎片化”、外来消费转化率低、产业链条短、过夜游不足、品牌辨识度不高等突出问题，制约了区域消费能级提升和国际旅游城市示范区建设</w:t>
            </w:r>
            <w:r>
              <w:rPr>
                <w:rFonts w:hint="eastAsia" w:ascii="仿宋_GB2312" w:hAnsi="仿宋_GB2312" w:eastAsia="仿宋_GB2312" w:cs="仿宋_GB2312"/>
                <w:spacing w:val="-1"/>
                <w:kern w:val="2"/>
                <w:sz w:val="21"/>
                <w:szCs w:val="21"/>
                <w:lang w:val="en-US" w:eastAsia="zh-CN" w:bidi="ar-SA"/>
              </w:rPr>
              <w:t>。</w:t>
            </w:r>
          </w:p>
          <w:p w14:paraId="73328295">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本课题旨在系统梳理南溪区文旅体商资源禀</w:t>
            </w:r>
            <w:r>
              <w:rPr>
                <w:rFonts w:hint="eastAsia" w:ascii="仿宋_GB2312" w:hAnsi="仿宋_GB2312" w:eastAsia="仿宋_GB2312" w:cs="仿宋_GB2312"/>
                <w:spacing w:val="-1"/>
                <w:kern w:val="2"/>
                <w:sz w:val="21"/>
                <w:szCs w:val="21"/>
                <w:lang w:val="en-US" w:eastAsia="zh-CN" w:bidi="ar-SA"/>
              </w:rPr>
              <w:t>赋</w:t>
            </w:r>
            <w:r>
              <w:rPr>
                <w:rFonts w:hint="default" w:ascii="仿宋_GB2312" w:hAnsi="仿宋_GB2312" w:eastAsia="仿宋_GB2312" w:cs="仿宋_GB2312"/>
                <w:spacing w:val="-1"/>
                <w:kern w:val="2"/>
                <w:sz w:val="21"/>
                <w:szCs w:val="21"/>
                <w:lang w:val="en-US" w:eastAsia="zh-CN" w:bidi="ar-SA"/>
              </w:rPr>
              <w:t>与发展现状，精准诊断融合堵点与深层原因，提出具有可操作性的对策建议。通过研究，力求实现三大目标：一是推动文化、旅游、体育、商业从“物理叠加”转</w:t>
            </w:r>
            <w:r>
              <w:rPr>
                <w:rFonts w:hint="eastAsia" w:ascii="仿宋_GB2312" w:hAnsi="仿宋_GB2312" w:eastAsia="仿宋_GB2312" w:cs="仿宋_GB2312"/>
                <w:spacing w:val="-1"/>
                <w:kern w:val="2"/>
                <w:sz w:val="21"/>
                <w:szCs w:val="21"/>
                <w:lang w:val="en-US" w:eastAsia="zh-CN" w:bidi="ar-SA"/>
              </w:rPr>
              <w:t>向</w:t>
            </w:r>
            <w:r>
              <w:rPr>
                <w:rFonts w:hint="default" w:ascii="仿宋_GB2312" w:hAnsi="仿宋_GB2312" w:eastAsia="仿宋_GB2312" w:cs="仿宋_GB2312"/>
                <w:spacing w:val="-1"/>
                <w:kern w:val="2"/>
                <w:sz w:val="21"/>
                <w:szCs w:val="21"/>
                <w:lang w:val="en-US" w:eastAsia="zh-CN" w:bidi="ar-SA"/>
              </w:rPr>
              <w:t>“化学融合”</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打造沉浸式、全键条消费场景：二是显著提升市外游客占比与人均消费水平，延长游客停留时间；三是构建“长江生态运动城+川南红色非遗体验地”特色品牌，为南溪高质量发展提供有力支撑</w:t>
            </w:r>
            <w:r>
              <w:rPr>
                <w:rFonts w:hint="eastAsia" w:ascii="仿宋_GB2312" w:hAnsi="仿宋_GB2312" w:eastAsia="仿宋_GB2312" w:cs="仿宋_GB2312"/>
                <w:spacing w:val="-1"/>
                <w:kern w:val="2"/>
                <w:sz w:val="21"/>
                <w:szCs w:val="21"/>
                <w:lang w:val="en-US" w:eastAsia="zh-CN" w:bidi="ar-SA"/>
              </w:rPr>
              <w:t>。</w:t>
            </w:r>
          </w:p>
        </w:tc>
      </w:tr>
      <w:tr w14:paraId="47259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1" w:hRule="exact"/>
          <w:jc w:val="center"/>
        </w:trPr>
        <w:tc>
          <w:tcPr>
            <w:tcW w:w="0" w:type="auto"/>
            <w:noWrap w:val="0"/>
            <w:vAlign w:val="center"/>
          </w:tcPr>
          <w:p w14:paraId="1FCE09A6">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4</w:t>
            </w:r>
          </w:p>
        </w:tc>
        <w:tc>
          <w:tcPr>
            <w:tcW w:w="1122" w:type="dxa"/>
            <w:noWrap w:val="0"/>
            <w:vAlign w:val="center"/>
          </w:tcPr>
          <w:p w14:paraId="7183EDC7">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江安县</w:t>
            </w:r>
          </w:p>
        </w:tc>
        <w:tc>
          <w:tcPr>
            <w:tcW w:w="1480" w:type="dxa"/>
            <w:noWrap w:val="0"/>
            <w:vAlign w:val="center"/>
          </w:tcPr>
          <w:p w14:paraId="34295EE1">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江安城市文脉研究</w:t>
            </w:r>
          </w:p>
        </w:tc>
        <w:tc>
          <w:tcPr>
            <w:tcW w:w="9874" w:type="dxa"/>
            <w:noWrap w:val="0"/>
            <w:vAlign w:val="center"/>
          </w:tcPr>
          <w:p w14:paraId="43E8AD1F">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现实背景：江安文脉资源家底丰厚，对文脉资源的保护利用有了一定的成效，形成了一批物化载体，文化历史研究呈现了一批文献成果，推进文旅融合发展打造了一批文化品牌</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通过对江安城市文脉的研究，对江安城市文脉资源的再挖掘和深层次利用，进一步擦亮“多彩江安·人文漫城”的文化底色。</w:t>
            </w:r>
          </w:p>
          <w:p w14:paraId="729B2534">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解决的主要问题：解决好文脉资源保护不够、系统梳理挖掘文脉不深、宣传展示有差距、文旅融合还需加强等客观存在的现实问题。</w:t>
            </w:r>
          </w:p>
          <w:p w14:paraId="63F55E2A">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eastAsia" w:ascii="仿宋_GB2312" w:hAnsi="仿宋_GB2312" w:eastAsia="仿宋_GB2312" w:cs="仿宋_GB2312"/>
                <w:spacing w:val="-1"/>
                <w:kern w:val="2"/>
                <w:sz w:val="21"/>
                <w:szCs w:val="21"/>
                <w:lang w:val="en-US" w:eastAsia="zh-CN" w:bidi="ar-SA"/>
              </w:rPr>
              <w:t>预期</w:t>
            </w:r>
            <w:r>
              <w:rPr>
                <w:rFonts w:hint="default" w:ascii="仿宋_GB2312" w:hAnsi="仿宋_GB2312" w:eastAsia="仿宋_GB2312" w:cs="仿宋_GB2312"/>
                <w:spacing w:val="-1"/>
                <w:kern w:val="2"/>
                <w:sz w:val="21"/>
                <w:szCs w:val="21"/>
                <w:lang w:val="en-US" w:eastAsia="zh-CN" w:bidi="ar-SA"/>
              </w:rPr>
              <w:t>目标：以省级历史文化名城为城市文脉，保护与利用并举，以文化人，以文塑旅，文旅融合，对城市文脉资源活化利用，在保护中发展，在发展中保护，全力打造“多彩江安·人文漫城”</w:t>
            </w:r>
            <w:r>
              <w:rPr>
                <w:rFonts w:hint="eastAsia" w:ascii="仿宋_GB2312" w:hAnsi="仿宋_GB2312" w:eastAsia="仿宋_GB2312" w:cs="仿宋_GB2312"/>
                <w:spacing w:val="-1"/>
                <w:kern w:val="2"/>
                <w:sz w:val="21"/>
                <w:szCs w:val="21"/>
                <w:lang w:val="en-US" w:eastAsia="zh-CN" w:bidi="ar-SA"/>
              </w:rPr>
              <w:t>品牌</w:t>
            </w:r>
            <w:r>
              <w:rPr>
                <w:rFonts w:hint="default" w:ascii="仿宋_GB2312" w:hAnsi="仿宋_GB2312" w:eastAsia="仿宋_GB2312" w:cs="仿宋_GB2312"/>
                <w:spacing w:val="-1"/>
                <w:kern w:val="2"/>
                <w:sz w:val="21"/>
                <w:szCs w:val="21"/>
                <w:lang w:val="en-US" w:eastAsia="zh-CN" w:bidi="ar-SA"/>
              </w:rPr>
              <w:t>。</w:t>
            </w:r>
          </w:p>
        </w:tc>
      </w:tr>
      <w:tr w14:paraId="341D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1" w:hRule="exact"/>
          <w:jc w:val="center"/>
        </w:trPr>
        <w:tc>
          <w:tcPr>
            <w:tcW w:w="0" w:type="auto"/>
            <w:noWrap w:val="0"/>
            <w:vAlign w:val="center"/>
          </w:tcPr>
          <w:p w14:paraId="0779C85B">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5</w:t>
            </w:r>
          </w:p>
        </w:tc>
        <w:tc>
          <w:tcPr>
            <w:tcW w:w="1122" w:type="dxa"/>
            <w:noWrap w:val="0"/>
            <w:vAlign w:val="center"/>
          </w:tcPr>
          <w:p w14:paraId="46E5F914">
            <w:pPr>
              <w:pStyle w:val="2"/>
              <w:spacing w:line="240" w:lineRule="auto"/>
              <w:jc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eastAsia="zh-CN"/>
              </w:rPr>
              <w:t>长宁县</w:t>
            </w:r>
          </w:p>
        </w:tc>
        <w:tc>
          <w:tcPr>
            <w:tcW w:w="1480" w:type="dxa"/>
            <w:noWrap w:val="0"/>
            <w:vAlign w:val="center"/>
          </w:tcPr>
          <w:p w14:paraId="1437FEFA">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建设国家旅游名县的长宁路径研究</w:t>
            </w:r>
          </w:p>
        </w:tc>
        <w:tc>
          <w:tcPr>
            <w:tcW w:w="9874" w:type="dxa"/>
            <w:noWrap w:val="0"/>
            <w:vAlign w:val="center"/>
          </w:tcPr>
          <w:p w14:paraId="260E2B8E">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现实背景</w:t>
            </w:r>
            <w:r>
              <w:rPr>
                <w:rFonts w:hint="eastAsia" w:ascii="仿宋_GB2312" w:hAnsi="仿宋_GB2312" w:eastAsia="仿宋_GB2312" w:cs="仿宋_GB2312"/>
                <w:spacing w:val="-1"/>
                <w:kern w:val="2"/>
                <w:sz w:val="21"/>
                <w:szCs w:val="21"/>
                <w:lang w:val="en-US" w:eastAsia="zh-CN" w:bidi="ar-SA"/>
              </w:rPr>
              <w:t>：建设国际旅游城市是宜宾市委市政府“五个建设”核心定位之一，明确提出支持有条件的县（区）建设国家旅游名县。长宁县拥有蜀南竹海、大熊猫IP等国字号文旅资源，已成功创建天府旅游名县、国家生态文明建设示范区，连续四年跻身全国县域旅游综合实力百强县，具备创建国家旅游名县的坚实基础和先发优势。</w:t>
            </w:r>
          </w:p>
          <w:p w14:paraId="60616CE5">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研究意义</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本课题旨在贯彻落实市委六届八次全会精神，立足长宁</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文旅兴县</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战略，系统总结其</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景城相融、主客共享</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的实践经验，探索县域文旅深度融合、赋能高质量发展的有效路径，为全市建设国际旅游城市提供</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长宁样板</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和决策参考。</w:t>
            </w:r>
          </w:p>
          <w:p w14:paraId="79CADB7E">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default" w:ascii="仿宋_GB2312" w:hAnsi="仿宋_GB2312" w:eastAsia="仿宋_GB2312" w:cs="仿宋_GB2312"/>
                <w:spacing w:val="-1"/>
                <w:kern w:val="2"/>
                <w:sz w:val="21"/>
                <w:szCs w:val="21"/>
                <w:lang w:val="en-US" w:eastAsia="zh-CN" w:bidi="ar-SA"/>
              </w:rPr>
              <w:t>要解决的主要问题</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聚焦长宁从</w:t>
            </w:r>
            <w:r>
              <w:rPr>
                <w:rFonts w:hint="eastAsia" w:ascii="仿宋_GB2312" w:hAnsi="仿宋_GB2312" w:eastAsia="仿宋_GB2312" w:cs="仿宋_GB2312"/>
                <w:spacing w:val="-1"/>
                <w:kern w:val="2"/>
                <w:sz w:val="21"/>
                <w:szCs w:val="21"/>
                <w:lang w:val="en-US" w:eastAsia="zh-CN" w:bidi="ar-SA"/>
              </w:rPr>
              <w:t>“天府</w:t>
            </w:r>
            <w:r>
              <w:rPr>
                <w:rFonts w:hint="default" w:ascii="仿宋_GB2312" w:hAnsi="仿宋_GB2312" w:eastAsia="仿宋_GB2312" w:cs="仿宋_GB2312"/>
                <w:spacing w:val="-1"/>
                <w:kern w:val="2"/>
                <w:sz w:val="21"/>
                <w:szCs w:val="21"/>
                <w:lang w:val="en-US" w:eastAsia="zh-CN" w:bidi="ar-SA"/>
              </w:rPr>
              <w:t>旅游</w:t>
            </w:r>
            <w:r>
              <w:rPr>
                <w:rFonts w:hint="eastAsia" w:ascii="仿宋_GB2312" w:hAnsi="仿宋_GB2312" w:eastAsia="仿宋_GB2312" w:cs="仿宋_GB2312"/>
                <w:spacing w:val="-1"/>
                <w:kern w:val="2"/>
                <w:sz w:val="21"/>
                <w:szCs w:val="21"/>
                <w:lang w:val="en-US" w:eastAsia="zh-CN" w:bidi="ar-SA"/>
              </w:rPr>
              <w:t>名</w:t>
            </w:r>
            <w:r>
              <w:rPr>
                <w:rFonts w:hint="default" w:ascii="仿宋_GB2312" w:hAnsi="仿宋_GB2312" w:eastAsia="仿宋_GB2312" w:cs="仿宋_GB2312"/>
                <w:spacing w:val="-1"/>
                <w:kern w:val="2"/>
                <w:sz w:val="21"/>
                <w:szCs w:val="21"/>
                <w:lang w:val="en-US" w:eastAsia="zh-CN" w:bidi="ar-SA"/>
              </w:rPr>
              <w:t>县</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向</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国家旅游名县</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跨越中的痛点，重点研究如何破解产品同质化、产业链条短、品牌影响力不足等问题，探索文旅IP打造、业态创新、服务提质及</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文旅+百业</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融合发展的具体路径。</w:t>
            </w:r>
          </w:p>
          <w:p w14:paraId="1FD77643">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416" w:firstLineChars="200"/>
              <w:jc w:val="left"/>
              <w:textAlignment w:val="auto"/>
              <w:rPr>
                <w:rFonts w:hint="default" w:ascii="仿宋_GB2312" w:hAnsi="仿宋_GB2312" w:eastAsia="仿宋_GB2312" w:cs="仿宋_GB2312"/>
                <w:spacing w:val="-1"/>
                <w:kern w:val="2"/>
                <w:sz w:val="21"/>
                <w:szCs w:val="21"/>
                <w:lang w:val="en-US" w:eastAsia="zh-CN" w:bidi="ar-SA"/>
              </w:rPr>
            </w:pPr>
            <w:r>
              <w:rPr>
                <w:rFonts w:hint="eastAsia" w:ascii="仿宋_GB2312" w:hAnsi="仿宋_GB2312" w:eastAsia="仿宋_GB2312" w:cs="仿宋_GB2312"/>
                <w:spacing w:val="-1"/>
                <w:kern w:val="2"/>
                <w:sz w:val="21"/>
                <w:szCs w:val="21"/>
                <w:lang w:val="en-US" w:eastAsia="zh-CN" w:bidi="ar-SA"/>
              </w:rPr>
              <w:t>预期</w:t>
            </w:r>
            <w:r>
              <w:rPr>
                <w:rFonts w:hint="default" w:ascii="仿宋_GB2312" w:hAnsi="仿宋_GB2312" w:eastAsia="仿宋_GB2312" w:cs="仿宋_GB2312"/>
                <w:spacing w:val="-1"/>
                <w:kern w:val="2"/>
                <w:sz w:val="21"/>
                <w:szCs w:val="21"/>
                <w:lang w:val="en-US" w:eastAsia="zh-CN" w:bidi="ar-SA"/>
              </w:rPr>
              <w:t>目标</w:t>
            </w:r>
            <w:r>
              <w:rPr>
                <w:rFonts w:hint="eastAsia" w:ascii="仿宋_GB2312" w:hAnsi="仿宋_GB2312" w:eastAsia="仿宋_GB2312" w:cs="仿宋_GB2312"/>
                <w:spacing w:val="-1"/>
                <w:kern w:val="2"/>
                <w:sz w:val="21"/>
                <w:szCs w:val="21"/>
                <w:lang w:val="en-US" w:eastAsia="zh-CN" w:bidi="ar-SA"/>
              </w:rPr>
              <w:t>：</w:t>
            </w:r>
            <w:r>
              <w:rPr>
                <w:rFonts w:hint="default" w:ascii="仿宋_GB2312" w:hAnsi="仿宋_GB2312" w:eastAsia="仿宋_GB2312" w:cs="仿宋_GB2312"/>
                <w:spacing w:val="-1"/>
                <w:kern w:val="2"/>
                <w:sz w:val="21"/>
                <w:szCs w:val="21"/>
                <w:lang w:val="en-US" w:eastAsia="zh-CN" w:bidi="ar-SA"/>
              </w:rPr>
              <w:t>通过研究，形成高质量调研报告或决策咨询报告，提出长宁建设国家旅游名县的实施路径、重点任务和政策建议，力争</w:t>
            </w:r>
            <w:r>
              <w:rPr>
                <w:rFonts w:hint="eastAsia" w:ascii="仿宋_GB2312" w:hAnsi="仿宋_GB2312" w:eastAsia="仿宋_GB2312" w:cs="仿宋_GB2312"/>
                <w:spacing w:val="-1"/>
                <w:kern w:val="2"/>
                <w:sz w:val="21"/>
                <w:szCs w:val="21"/>
                <w:lang w:val="en-US" w:eastAsia="zh-CN" w:bidi="ar-SA"/>
              </w:rPr>
              <w:t>研究</w:t>
            </w:r>
            <w:r>
              <w:rPr>
                <w:rFonts w:hint="default" w:ascii="仿宋_GB2312" w:hAnsi="仿宋_GB2312" w:eastAsia="仿宋_GB2312" w:cs="仿宋_GB2312"/>
                <w:spacing w:val="-1"/>
                <w:kern w:val="2"/>
                <w:sz w:val="21"/>
                <w:szCs w:val="21"/>
                <w:lang w:val="en-US" w:eastAsia="zh-CN" w:bidi="ar-SA"/>
              </w:rPr>
              <w:t>成果获得</w:t>
            </w:r>
            <w:r>
              <w:rPr>
                <w:rFonts w:hint="eastAsia" w:ascii="仿宋_GB2312" w:hAnsi="仿宋_GB2312" w:eastAsia="仿宋_GB2312" w:cs="仿宋_GB2312"/>
                <w:spacing w:val="-1"/>
                <w:kern w:val="2"/>
                <w:sz w:val="21"/>
                <w:szCs w:val="21"/>
                <w:lang w:val="en-US" w:eastAsia="zh-CN" w:bidi="ar-SA"/>
              </w:rPr>
              <w:t>省、市</w:t>
            </w:r>
            <w:r>
              <w:rPr>
                <w:rFonts w:hint="default" w:ascii="仿宋_GB2312" w:hAnsi="仿宋_GB2312" w:eastAsia="仿宋_GB2312" w:cs="仿宋_GB2312"/>
                <w:spacing w:val="-1"/>
                <w:kern w:val="2"/>
                <w:sz w:val="21"/>
                <w:szCs w:val="21"/>
                <w:lang w:val="en-US" w:eastAsia="zh-CN" w:bidi="ar-SA"/>
              </w:rPr>
              <w:t>领导认可，助力长宁成功创建国家旅游名县。</w:t>
            </w:r>
          </w:p>
        </w:tc>
      </w:tr>
      <w:tr w14:paraId="4A25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6" w:hRule="exact"/>
          <w:jc w:val="center"/>
        </w:trPr>
        <w:tc>
          <w:tcPr>
            <w:tcW w:w="0" w:type="auto"/>
            <w:noWrap w:val="0"/>
            <w:vAlign w:val="center"/>
          </w:tcPr>
          <w:p w14:paraId="5150C7E8">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6</w:t>
            </w:r>
          </w:p>
        </w:tc>
        <w:tc>
          <w:tcPr>
            <w:tcW w:w="1122" w:type="dxa"/>
            <w:noWrap w:val="0"/>
            <w:vAlign w:val="center"/>
          </w:tcPr>
          <w:p w14:paraId="59327E49">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高县</w:t>
            </w:r>
          </w:p>
        </w:tc>
        <w:tc>
          <w:tcPr>
            <w:tcW w:w="1480" w:type="dxa"/>
            <w:noWrap w:val="0"/>
            <w:vAlign w:val="center"/>
          </w:tcPr>
          <w:p w14:paraId="212BA944">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高县打造宜宾西向联动基地承载县的路径研究</w:t>
            </w:r>
          </w:p>
        </w:tc>
        <w:tc>
          <w:tcPr>
            <w:tcW w:w="9874" w:type="dxa"/>
            <w:noWrap w:val="0"/>
            <w:vAlign w:val="center"/>
          </w:tcPr>
          <w:p w14:paraId="4BBB304D">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现实背景</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紧扣高县“十五五”规划明确的“建设宜宾西向联动基地承载县”战略定位，依托渝昆高铁、高速路网构成的交通区位优势，迎来融入“一带一路”与成渝贵昆“两小时经济圈”的战略机遇。当前亟需破解承载能级不足、产业协同不深等瓶颈，推动交通优势向发展动能转化。</w:t>
            </w:r>
          </w:p>
          <w:p w14:paraId="7C1A75F0">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研究意义</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围绕高县落实“十五五”战略定位，系统谋划实施路径，为畅通内外联动动脉、承接市级主导产业、加快绿色产业集聚提供决策支持，有助于补齐宜宾西向开放短板，对服务区域协同发展具有重要现实指导意义。</w:t>
            </w:r>
          </w:p>
          <w:p w14:paraId="418B9DBD">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主要目标</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建成功能完善的宜宾西向联动基地承载县，推动交通优势转化为经济优势，健全区域联动机制，培育具有竞争力的绿色产业集群，全面融入成渝贵昆“两小时经济圈”，成为宜宾西向开放与产业承接的重要支点。</w:t>
            </w:r>
          </w:p>
        </w:tc>
      </w:tr>
      <w:tr w14:paraId="6089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6" w:hRule="exact"/>
          <w:jc w:val="center"/>
        </w:trPr>
        <w:tc>
          <w:tcPr>
            <w:tcW w:w="0" w:type="auto"/>
            <w:noWrap w:val="0"/>
            <w:vAlign w:val="center"/>
          </w:tcPr>
          <w:p w14:paraId="260E5D45">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7</w:t>
            </w:r>
          </w:p>
        </w:tc>
        <w:tc>
          <w:tcPr>
            <w:tcW w:w="1122" w:type="dxa"/>
            <w:noWrap w:val="0"/>
            <w:vAlign w:val="center"/>
          </w:tcPr>
          <w:p w14:paraId="09EA7E32">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筠连县</w:t>
            </w:r>
          </w:p>
        </w:tc>
        <w:tc>
          <w:tcPr>
            <w:tcW w:w="1480" w:type="dxa"/>
            <w:noWrap w:val="0"/>
            <w:vAlign w:val="center"/>
          </w:tcPr>
          <w:p w14:paraId="1C84C9BE">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筠连县生育人口持续走低的原因及对策分析</w:t>
            </w:r>
          </w:p>
        </w:tc>
        <w:tc>
          <w:tcPr>
            <w:tcW w:w="9874" w:type="dxa"/>
            <w:noWrap w:val="0"/>
            <w:vAlign w:val="center"/>
          </w:tcPr>
          <w:p w14:paraId="7A84096C">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现实背景</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筠连县在城镇化进程中，“男女平等”生育观念虽不断普及，但生育意愿并未随之提升。近年来，筠连县生育人口呈现持续走低态势。统计数据显示，到2025年，筠连县常住人口出生人口仅0.1958万人，出生率降至9.74‰，自然增长率下滑至-3.99‰。</w:t>
            </w:r>
          </w:p>
          <w:p w14:paraId="1F5925A2">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研究意义</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开展本选题研究，有助于精准把握筠连县生育人口走低的内在逻辑，为制定针对性的人口政策提供数据支撑和理论依据。通过深入分析原因，破解制约生育的现实难题，优化人口结构，缓解人口老龄化带来的社会压力。同时，研究成果也可为其他类似县域解决生育问题提供参考借鉴，推动区域人口与经济社会协调发展。</w:t>
            </w:r>
          </w:p>
          <w:p w14:paraId="6EE297EC">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要解决的主要问题</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一是深入剖析筠连县生育人口持续走低的多元原因，包括经济结构转型、生育观念转变、养育成本压力、公共服务供给等方面的具体影响。二是结合筠连实际，提出切实可行、具有可操作性的对策建议，破解生育意愿低迷、人口结构失衡等问题。</w:t>
            </w:r>
          </w:p>
          <w:p w14:paraId="44822B3C">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eastAsia" w:ascii="仿宋_GB2312" w:hAnsi="仿宋_GB2312" w:eastAsia="仿宋_GB2312" w:cs="仿宋_GB2312"/>
                <w:spacing w:val="-1"/>
                <w:kern w:val="2"/>
                <w:sz w:val="20"/>
                <w:szCs w:val="20"/>
                <w:lang w:val="en-US" w:eastAsia="zh-CN" w:bidi="ar-SA"/>
              </w:rPr>
              <w:t>预期</w:t>
            </w:r>
            <w:r>
              <w:rPr>
                <w:rFonts w:hint="default" w:ascii="仿宋_GB2312" w:hAnsi="仿宋_GB2312" w:eastAsia="仿宋_GB2312" w:cs="仿宋_GB2312"/>
                <w:spacing w:val="-1"/>
                <w:kern w:val="2"/>
                <w:sz w:val="20"/>
                <w:szCs w:val="20"/>
                <w:lang w:val="en-US" w:eastAsia="zh-CN" w:bidi="ar-SA"/>
              </w:rPr>
              <w:t>目标</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 xml:space="preserve">通过研究，全面厘清筠连县生育人口变化的趋势与规律，构建符合筠连实际的生育支持体系。力争形成一套科学合理、针对性强的对策方案，有效提升全县生育意愿，改善人口结构，促进人口长期均衡发展，为筠连县经济社会可持续发展注入人口动力。 </w:t>
            </w:r>
          </w:p>
        </w:tc>
      </w:tr>
      <w:tr w14:paraId="620B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1" w:hRule="exact"/>
          <w:jc w:val="center"/>
        </w:trPr>
        <w:tc>
          <w:tcPr>
            <w:tcW w:w="0" w:type="auto"/>
            <w:noWrap w:val="0"/>
            <w:vAlign w:val="center"/>
          </w:tcPr>
          <w:p w14:paraId="59CCD200">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8</w:t>
            </w:r>
          </w:p>
        </w:tc>
        <w:tc>
          <w:tcPr>
            <w:tcW w:w="1122" w:type="dxa"/>
            <w:noWrap w:val="0"/>
            <w:vAlign w:val="center"/>
          </w:tcPr>
          <w:p w14:paraId="005B747C">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珙县</w:t>
            </w:r>
          </w:p>
        </w:tc>
        <w:tc>
          <w:tcPr>
            <w:tcW w:w="1480" w:type="dxa"/>
            <w:noWrap w:val="0"/>
            <w:vAlign w:val="center"/>
          </w:tcPr>
          <w:p w14:paraId="3DE02579">
            <w:pPr>
              <w:pStyle w:val="2"/>
              <w:keepNext w:val="0"/>
              <w:keepLines w:val="0"/>
              <w:pageBreakBefore w:val="0"/>
              <w:widowControl w:val="0"/>
              <w:kinsoku/>
              <w:wordWrap/>
              <w:overflowPunct/>
              <w:topLinePunct w:val="0"/>
              <w:autoSpaceDE/>
              <w:autoSpaceDN/>
              <w:bidi w:val="0"/>
              <w:adjustRightInd/>
              <w:snapToGrid/>
              <w:spacing w:after="0" w:afterLines="0" w:line="240" w:lineRule="auto"/>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资源型地区转型发展的重点难点与路径研究——以珙县为例</w:t>
            </w:r>
          </w:p>
        </w:tc>
        <w:tc>
          <w:tcPr>
            <w:tcW w:w="9874" w:type="dxa"/>
            <w:noWrap w:val="0"/>
            <w:vAlign w:val="center"/>
          </w:tcPr>
          <w:p w14:paraId="6A98D5E2">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eastAsia" w:ascii="仿宋_GB2312" w:hAnsi="仿宋_GB2312" w:eastAsia="仿宋_GB2312" w:cs="仿宋_GB2312"/>
                <w:spacing w:val="-1"/>
                <w:kern w:val="2"/>
                <w:sz w:val="20"/>
                <w:szCs w:val="20"/>
                <w:lang w:val="en-US" w:eastAsia="zh-CN" w:bidi="ar-SA"/>
              </w:rPr>
              <w:t>珙县作为典型资源型地区，长期依赖煤炭等传统资源产业，当前面临资源逐步枯竭、产业结构单一、生态修复压力大、新旧动能转换接续不畅等现实困境。如何破解“资源制约”，走出一条安全、绿色、可持续的转型发展之路，是贯彻落实市委对珙县建设“高点起步，后发崛起”示范县部署要求、推动高质量发展的紧迫任务。本选题聚焦珙县转型发展中的重点难点问题，旨在系统总结其探索实践，深入分析产业重构、生态治理、民生保障、政策支撑等方面的瓶颈制约，研究提出具有针对性、可操作性的转型路径与对策建议。通过该研究，力求为珙县县委县政府提供科学决策参考，形成可复制、可推广的资源型地区转型发展“珙县经验”，以高质量研究成果服务地方发展大局。</w:t>
            </w:r>
          </w:p>
        </w:tc>
      </w:tr>
      <w:tr w14:paraId="5427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6" w:hRule="exact"/>
          <w:jc w:val="center"/>
        </w:trPr>
        <w:tc>
          <w:tcPr>
            <w:tcW w:w="0" w:type="auto"/>
            <w:noWrap w:val="0"/>
            <w:vAlign w:val="center"/>
          </w:tcPr>
          <w:p w14:paraId="7F9E1890">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9</w:t>
            </w:r>
          </w:p>
        </w:tc>
        <w:tc>
          <w:tcPr>
            <w:tcW w:w="1122" w:type="dxa"/>
            <w:noWrap w:val="0"/>
            <w:vAlign w:val="center"/>
          </w:tcPr>
          <w:p w14:paraId="34AC6EF5">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兴文县</w:t>
            </w:r>
          </w:p>
        </w:tc>
        <w:tc>
          <w:tcPr>
            <w:tcW w:w="1480" w:type="dxa"/>
            <w:noWrap w:val="0"/>
            <w:vAlign w:val="center"/>
          </w:tcPr>
          <w:p w14:paraId="6EE49217">
            <w:pPr>
              <w:pStyle w:val="2"/>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Times New Roman" w:hAnsi="Times New Roman" w:eastAsia="仿宋_GB2312" w:cs="Times New Roman"/>
                <w:kern w:val="0"/>
                <w:sz w:val="24"/>
                <w:szCs w:val="24"/>
                <w:lang w:val="en-US" w:eastAsia="zh-CN" w:bidi="ar-SA"/>
              </w:rPr>
            </w:pPr>
            <w:r>
              <w:rPr>
                <w:rFonts w:hint="default" w:ascii="Times New Roman" w:hAnsi="Times New Roman" w:eastAsia="仿宋_GB2312" w:cs="Times New Roman"/>
                <w:kern w:val="0"/>
                <w:sz w:val="24"/>
                <w:szCs w:val="24"/>
                <w:lang w:val="en-US" w:eastAsia="zh-CN" w:bidi="ar-SA"/>
              </w:rPr>
              <w:t>打造宜宾建设南向开放枢纽门户重要承载地</w:t>
            </w:r>
          </w:p>
        </w:tc>
        <w:tc>
          <w:tcPr>
            <w:tcW w:w="9874" w:type="dxa"/>
            <w:noWrap w:val="0"/>
            <w:vAlign w:val="center"/>
          </w:tcPr>
          <w:p w14:paraId="16359898">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现实背景</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宜宾正紧扣省委、省政府“打造四川南向开放枢纽门户”战略部署，加快建设现代化区域中心城市。市委赋予兴文县“打造宜宾建设南向开放枢纽门户重要承载地”的全新定位，将兴文从“地理末梢”推向“战略前沿”。</w:t>
            </w:r>
          </w:p>
          <w:p w14:paraId="579F7710">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研究意义</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旨在深刻把握市委新赋予的新定位，系统分析兴文县在南向开放格局中的基础优势与现实短板，明确发展路径与重点任务，为兴文实现后发赶超、扛起战略支点使命提供决策参考。</w:t>
            </w:r>
          </w:p>
          <w:p w14:paraId="0DA95881">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要解决的主要问题</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一是摸清交通物流、特色产业、文旅融合、区域合作、共同富裕等五大方向的基础优势与问题短板；二是明晰从“地理节点”向“战略支点”、从“单一通道”向“复合平台”、从“被动接受”向“主动承载”的转变路径。</w:t>
            </w:r>
          </w:p>
          <w:p w14:paraId="303EC3C7">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eastAsia" w:ascii="仿宋_GB2312" w:hAnsi="仿宋_GB2312" w:eastAsia="仿宋_GB2312" w:cs="仿宋_GB2312"/>
                <w:spacing w:val="-1"/>
                <w:kern w:val="2"/>
                <w:sz w:val="20"/>
                <w:szCs w:val="20"/>
                <w:lang w:val="en-US" w:eastAsia="zh-CN" w:bidi="ar-SA"/>
              </w:rPr>
              <w:t>预期</w:t>
            </w:r>
            <w:r>
              <w:rPr>
                <w:rFonts w:hint="default" w:ascii="仿宋_GB2312" w:hAnsi="仿宋_GB2312" w:eastAsia="仿宋_GB2312" w:cs="仿宋_GB2312"/>
                <w:spacing w:val="-1"/>
                <w:kern w:val="2"/>
                <w:sz w:val="20"/>
                <w:szCs w:val="20"/>
                <w:lang w:val="en-US" w:eastAsia="zh-CN" w:bidi="ar-SA"/>
              </w:rPr>
              <w:t>目标</w:t>
            </w:r>
            <w:r>
              <w:rPr>
                <w:rFonts w:hint="eastAsia" w:ascii="仿宋_GB2312" w:hAnsi="仿宋_GB2312" w:eastAsia="仿宋_GB2312" w:cs="仿宋_GB2312"/>
                <w:spacing w:val="-1"/>
                <w:kern w:val="2"/>
                <w:sz w:val="20"/>
                <w:szCs w:val="20"/>
                <w:lang w:val="en-US" w:eastAsia="zh-CN" w:bidi="ar-SA"/>
              </w:rPr>
              <w:t>：</w:t>
            </w:r>
            <w:r>
              <w:rPr>
                <w:rFonts w:hint="default" w:ascii="仿宋_GB2312" w:hAnsi="仿宋_GB2312" w:eastAsia="仿宋_GB2312" w:cs="仿宋_GB2312"/>
                <w:spacing w:val="-1"/>
                <w:kern w:val="2"/>
                <w:sz w:val="20"/>
                <w:szCs w:val="20"/>
                <w:lang w:val="en-US" w:eastAsia="zh-CN" w:bidi="ar-SA"/>
              </w:rPr>
              <w:t>形成系统化战略实施方案，聚焦五大主攻方向提出可操作的政策建议，加快推动兴文成为宜宾南向开放枢纽门户的重要承载地，实现从“地理末梢”到“战略前沿”的根本性跃升。</w:t>
            </w:r>
          </w:p>
          <w:p w14:paraId="67859B86">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p>
        </w:tc>
      </w:tr>
      <w:tr w14:paraId="509C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6" w:hRule="exact"/>
          <w:jc w:val="center"/>
        </w:trPr>
        <w:tc>
          <w:tcPr>
            <w:tcW w:w="0" w:type="auto"/>
            <w:noWrap w:val="0"/>
            <w:vAlign w:val="center"/>
          </w:tcPr>
          <w:p w14:paraId="584C2DE8">
            <w:pPr>
              <w:pStyle w:val="2"/>
              <w:spacing w:line="240" w:lineRule="auto"/>
              <w:jc w:val="center"/>
              <w:rPr>
                <w:rFonts w:hint="default" w:ascii="Times New Roman" w:hAnsi="Times New Roman" w:eastAsia="黑体" w:cs="Times New Roman"/>
                <w:color w:val="auto"/>
                <w:sz w:val="28"/>
                <w:szCs w:val="28"/>
                <w:vertAlign w:val="baseline"/>
                <w:lang w:val="en-US" w:eastAsia="zh-CN"/>
              </w:rPr>
            </w:pPr>
            <w:r>
              <w:rPr>
                <w:rFonts w:hint="default" w:ascii="Times New Roman" w:hAnsi="Times New Roman" w:eastAsia="黑体" w:cs="Times New Roman"/>
                <w:color w:val="auto"/>
                <w:sz w:val="28"/>
                <w:szCs w:val="28"/>
                <w:vertAlign w:val="baseline"/>
                <w:lang w:val="en-US" w:eastAsia="zh-CN"/>
              </w:rPr>
              <w:t>10</w:t>
            </w:r>
          </w:p>
        </w:tc>
        <w:tc>
          <w:tcPr>
            <w:tcW w:w="1122" w:type="dxa"/>
            <w:noWrap w:val="0"/>
            <w:vAlign w:val="center"/>
          </w:tcPr>
          <w:p w14:paraId="686B5338">
            <w:pPr>
              <w:pStyle w:val="2"/>
              <w:spacing w:line="240" w:lineRule="auto"/>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屏山县</w:t>
            </w:r>
          </w:p>
        </w:tc>
        <w:tc>
          <w:tcPr>
            <w:tcW w:w="1480" w:type="dxa"/>
            <w:noWrap w:val="0"/>
            <w:vAlign w:val="center"/>
          </w:tcPr>
          <w:p w14:paraId="18C04159">
            <w:pPr>
              <w:pStyle w:val="2"/>
              <w:keepNext w:val="0"/>
              <w:keepLines w:val="0"/>
              <w:pageBreakBefore w:val="0"/>
              <w:widowControl w:val="0"/>
              <w:kinsoku/>
              <w:wordWrap/>
              <w:overflowPunct/>
              <w:topLinePunct w:val="0"/>
              <w:autoSpaceDE/>
              <w:autoSpaceDN/>
              <w:bidi w:val="0"/>
              <w:adjustRightInd/>
              <w:snapToGrid/>
              <w:spacing w:after="0" w:afterLines="0" w:line="400" w:lineRule="exact"/>
              <w:jc w:val="left"/>
              <w:textAlignment w:val="auto"/>
              <w:rPr>
                <w:rFonts w:hint="eastAsia" w:ascii="仿宋_GB2312" w:hAnsi="仿宋_GB2312" w:eastAsia="仿宋_GB2312" w:cs="仿宋_GB2312"/>
                <w:color w:val="auto"/>
                <w:sz w:val="28"/>
                <w:szCs w:val="28"/>
                <w:vertAlign w:val="baseline"/>
                <w:lang w:eastAsia="zh-CN"/>
              </w:rPr>
            </w:pPr>
            <w:r>
              <w:rPr>
                <w:rFonts w:hint="default" w:ascii="Times New Roman" w:hAnsi="Times New Roman" w:eastAsia="仿宋_GB2312" w:cs="Times New Roman"/>
                <w:kern w:val="0"/>
                <w:sz w:val="24"/>
                <w:szCs w:val="24"/>
                <w:lang w:val="en-US" w:eastAsia="zh-CN" w:bidi="ar-SA"/>
              </w:rPr>
              <w:t>屏山县茵红李产业提质增效促进小农户增收长效机制研究</w:t>
            </w:r>
          </w:p>
        </w:tc>
        <w:tc>
          <w:tcPr>
            <w:tcW w:w="9874" w:type="dxa"/>
            <w:noWrap w:val="0"/>
            <w:vAlign w:val="center"/>
          </w:tcPr>
          <w:p w14:paraId="4DBE8B7A">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r>
              <w:rPr>
                <w:rFonts w:hint="default" w:ascii="仿宋_GB2312" w:hAnsi="仿宋_GB2312" w:eastAsia="仿宋_GB2312" w:cs="仿宋_GB2312"/>
                <w:spacing w:val="-1"/>
                <w:kern w:val="2"/>
                <w:sz w:val="20"/>
                <w:szCs w:val="20"/>
                <w:lang w:val="en-US" w:eastAsia="zh-CN" w:bidi="ar-SA"/>
              </w:rPr>
              <w:t>习近平总书记指出，要“因地制宜发展现代山地特色高效农业，培育具有持久市场竞争力的特色主导产业。要完善利益联结机制，在产业发展中促进群众增收致富”。农业产业提质增效是带动农民增收、夯实乡村振兴产业基础的有效途径。茵红李是屏山县特色支柱产业，其产业提质增效与联农带农增收是屏山落实乡村振兴战略、推动县域经济高质量发展的关键抓手。</w:t>
            </w:r>
          </w:p>
          <w:p w14:paraId="64937FBC">
            <w:pPr>
              <w:pStyle w:val="2"/>
              <w:keepNext w:val="0"/>
              <w:keepLines w:val="0"/>
              <w:pageBreakBefore w:val="0"/>
              <w:widowControl w:val="0"/>
              <w:kinsoku/>
              <w:wordWrap/>
              <w:overflowPunct/>
              <w:topLinePunct w:val="0"/>
              <w:autoSpaceDE/>
              <w:autoSpaceDN/>
              <w:bidi w:val="0"/>
              <w:adjustRightInd/>
              <w:snapToGrid/>
              <w:spacing w:after="0" w:afterLines="0" w:line="260" w:lineRule="exact"/>
              <w:ind w:firstLine="396" w:firstLineChars="200"/>
              <w:jc w:val="left"/>
              <w:textAlignment w:val="auto"/>
              <w:rPr>
                <w:rFonts w:hint="default" w:ascii="仿宋_GB2312" w:hAnsi="仿宋_GB2312" w:eastAsia="仿宋_GB2312" w:cs="仿宋_GB2312"/>
                <w:spacing w:val="-1"/>
                <w:kern w:val="2"/>
                <w:sz w:val="20"/>
                <w:szCs w:val="20"/>
                <w:lang w:val="en-US" w:eastAsia="zh-CN" w:bidi="ar-SA"/>
              </w:rPr>
            </w:pPr>
            <w:bookmarkStart w:id="0" w:name="OLE_LINK1"/>
            <w:r>
              <w:rPr>
                <w:rFonts w:hint="default" w:ascii="仿宋_GB2312" w:hAnsi="仿宋_GB2312" w:eastAsia="仿宋_GB2312" w:cs="仿宋_GB2312"/>
                <w:spacing w:val="-1"/>
                <w:kern w:val="2"/>
                <w:sz w:val="20"/>
                <w:szCs w:val="20"/>
                <w:lang w:val="en-US" w:eastAsia="zh-CN" w:bidi="ar-SA"/>
              </w:rPr>
              <w:t>立足全国茵红李核心产区优势，屏山县充分利用金沙江河谷独特气候条件，在促进小农户增收方面取得突出实效。</w:t>
            </w:r>
            <w:bookmarkEnd w:id="0"/>
            <w:r>
              <w:rPr>
                <w:rFonts w:hint="default" w:ascii="仿宋_GB2312" w:hAnsi="仿宋_GB2312" w:eastAsia="仿宋_GB2312" w:cs="仿宋_GB2312"/>
                <w:spacing w:val="-1"/>
                <w:kern w:val="2"/>
                <w:sz w:val="20"/>
                <w:szCs w:val="20"/>
                <w:lang w:val="en-US" w:eastAsia="zh-CN" w:bidi="ar-SA"/>
              </w:rPr>
              <w:t>截至2025年12月，屏山县茵红李种植面积超过18万亩，遍及全县9个乡镇，是全国最大的单一李子产区，涉及农户4.2万户，户均年收入超过2.3万元，带动4500余户贫困户增收。但也面临着一些问题，如小农户内部收入不平等、后续发展动力不足、利益联结机制不牢、产业延链增值弱、产业配套设施不健全等问题，成为制约小农户持续增收的现实困境。本选题聚焦屏山茵红李这一山地特色高效农业发展现状，调研茵红李促进小农户增收存在的困境，并提出相应对策，为屏山县健全茵红李产业提质增效促进小农户增收长效机制，宜宾“建设省域经济副中心”铸牢乡村产业支撑提供参考意见。</w:t>
            </w:r>
          </w:p>
        </w:tc>
      </w:tr>
    </w:tbl>
    <w:p w14:paraId="393852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98606F"/>
    <w:rsid w:val="3C986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footer"/>
    <w:basedOn w:val="1"/>
    <w:next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2026-04-10T10:01:00Z</dcterms:created>
  <dc:creator>宝妈婉玉</dc:creator>
  <cp:lastModifiedBy>宝妈婉玉</cp:lastModifiedBy>
  <dcterms:modified xsi:type="dcterms:W3CDTF">2026-04-10T10:01:51Z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E538417FFE6C42059DF7ADB12A836224_11</vt:lpwstr>
  </property>
  <property fmtid="{D5CDD505-2E9C-101B-9397-08002B2CF9AE}" pid="4" name="KSOTemplateDocerSaveRecord">
    <vt:lpwstr>eyJoZGlkIjoiYWM5ZGQwZmJiYmYzYThjOGUzOTNkMDIzOTcxNzBlZjAiLCJ1c2VySWQiOiIyNDc3OTY5NzYifQ==</vt:lpwstr>
  </property>
</Properties>
</file>